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50"/>
        <w:gridCol w:w="2574"/>
      </w:tblGrid>
      <w:tr w:rsidR="006C2990">
        <w:trPr>
          <w:trHeight w:val="1129"/>
        </w:trPr>
        <w:tc>
          <w:tcPr>
            <w:tcW w:w="76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Title"/>
            </w:pPr>
            <w:bookmarkStart w:id="0" w:name="_GoBack"/>
            <w:bookmarkEnd w:id="0"/>
            <w:r>
              <w:t xml:space="preserve">Westwood Commission </w:t>
            </w:r>
            <w:proofErr w:type="gramStart"/>
            <w:r>
              <w:t>On</w:t>
            </w:r>
            <w:proofErr w:type="gramEnd"/>
            <w:r>
              <w:t xml:space="preserve"> Disability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C2990" w:rsidRDefault="00824376">
            <w:pPr>
              <w:pStyle w:val="Heading3"/>
            </w:pPr>
            <w:r>
              <w:t>November 11, 2017</w:t>
            </w:r>
          </w:p>
          <w:p w:rsidR="006C2990" w:rsidRDefault="00824376">
            <w:pPr>
              <w:pStyle w:val="Heading3"/>
            </w:pPr>
            <w:r>
              <w:t>9:35am</w:t>
            </w:r>
          </w:p>
          <w:p w:rsidR="006C2990" w:rsidRDefault="00824376">
            <w:pPr>
              <w:pStyle w:val="Heading3"/>
            </w:pPr>
            <w:r>
              <w:t xml:space="preserve">50 Carby </w:t>
            </w:r>
            <w:proofErr w:type="spellStart"/>
            <w:r>
              <w:t>Streeet</w:t>
            </w:r>
            <w:proofErr w:type="spellEnd"/>
            <w:r>
              <w:t xml:space="preserve">, Conference Room 18 </w:t>
            </w:r>
          </w:p>
        </w:tc>
      </w:tr>
    </w:tbl>
    <w:p w:rsidR="006C2990" w:rsidRDefault="006C2990">
      <w:pPr>
        <w:pStyle w:val="Body"/>
        <w:widowControl w:val="0"/>
      </w:pPr>
    </w:p>
    <w:tbl>
      <w:tblPr>
        <w:tblW w:w="102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46"/>
        <w:gridCol w:w="3184"/>
        <w:gridCol w:w="1779"/>
        <w:gridCol w:w="3315"/>
      </w:tblGrid>
      <w:tr w:rsidR="006C2990">
        <w:trPr>
          <w:trHeight w:val="57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Meeting called by: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Commission on Disability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Type of meeting: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Regular and Open Meeting</w:t>
            </w:r>
          </w:p>
        </w:tc>
      </w:tr>
      <w:tr w:rsidR="006C2990">
        <w:trPr>
          <w:trHeight w:val="29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Facilitator: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Anne Berry-Goodfellow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Note taker: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Jean Barrett</w:t>
            </w:r>
          </w:p>
        </w:tc>
      </w:tr>
      <w:tr w:rsidR="006C2990">
        <w:trPr>
          <w:trHeight w:val="292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Timekeeper:</w:t>
            </w:r>
          </w:p>
        </w:tc>
        <w:tc>
          <w:tcPr>
            <w:tcW w:w="3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Jean Barrett</w:t>
            </w:r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</w:tr>
    </w:tbl>
    <w:p w:rsidR="006C2990" w:rsidRDefault="006C2990">
      <w:pPr>
        <w:pStyle w:val="Body"/>
        <w:widowControl w:val="0"/>
      </w:pPr>
    </w:p>
    <w:tbl>
      <w:tblPr>
        <w:tblW w:w="1022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0"/>
        <w:gridCol w:w="8244"/>
      </w:tblGrid>
      <w:tr w:rsidR="006C2990">
        <w:trPr>
          <w:trHeight w:val="74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Attendees:</w:t>
            </w:r>
          </w:p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Jean Barrett, Anne Berry-Goodfellow, </w:t>
            </w:r>
            <w:proofErr w:type="spellStart"/>
            <w:r>
              <w:rPr>
                <w:sz w:val="25"/>
                <w:szCs w:val="25"/>
              </w:rPr>
              <w:t>MaryAnne</w:t>
            </w:r>
            <w:proofErr w:type="spellEnd"/>
            <w:r>
              <w:rPr>
                <w:sz w:val="25"/>
                <w:szCs w:val="25"/>
              </w:rPr>
              <w:t xml:space="preserve"> Carty, </w:t>
            </w:r>
            <w:proofErr w:type="spellStart"/>
            <w:r>
              <w:rPr>
                <w:sz w:val="25"/>
                <w:szCs w:val="25"/>
              </w:rPr>
              <w:t>Jette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Meglan</w:t>
            </w:r>
            <w:proofErr w:type="spellEnd"/>
          </w:p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 xml:space="preserve">Guest: Jessica </w:t>
            </w:r>
            <w:proofErr w:type="spellStart"/>
            <w:r>
              <w:rPr>
                <w:sz w:val="25"/>
                <w:szCs w:val="25"/>
              </w:rPr>
              <w:t>Pugliesi</w:t>
            </w:r>
            <w:proofErr w:type="spellEnd"/>
            <w:r>
              <w:rPr>
                <w:sz w:val="25"/>
                <w:szCs w:val="25"/>
              </w:rPr>
              <w:t xml:space="preserve">, WPS Transitional Specialist, Polly </w:t>
            </w:r>
            <w:proofErr w:type="spellStart"/>
            <w:r>
              <w:rPr>
                <w:sz w:val="25"/>
                <w:szCs w:val="25"/>
              </w:rPr>
              <w:t>Attridge</w:t>
            </w:r>
            <w:proofErr w:type="spellEnd"/>
          </w:p>
        </w:tc>
      </w:tr>
      <w:tr w:rsidR="006C2990">
        <w:trPr>
          <w:trHeight w:val="2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</w:tr>
    </w:tbl>
    <w:p w:rsidR="006C2990" w:rsidRDefault="006C2990">
      <w:pPr>
        <w:pStyle w:val="Body"/>
        <w:widowControl w:val="0"/>
      </w:pPr>
    </w:p>
    <w:p w:rsidR="006C2990" w:rsidRDefault="00824376">
      <w:pPr>
        <w:pStyle w:val="Heading"/>
      </w:pPr>
      <w:r>
        <w:t>Minutes</w:t>
      </w:r>
    </w:p>
    <w:tbl>
      <w:tblPr>
        <w:tblW w:w="1022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21"/>
        <w:gridCol w:w="4815"/>
        <w:gridCol w:w="1478"/>
        <w:gridCol w:w="2310"/>
      </w:tblGrid>
      <w:tr w:rsidR="006C2990">
        <w:trPr>
          <w:trHeight w:val="572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Agenda item: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Approval of Minutes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Presenter: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proofErr w:type="spellStart"/>
            <w:r>
              <w:rPr>
                <w:sz w:val="25"/>
                <w:szCs w:val="25"/>
              </w:rPr>
              <w:t>Jette</w:t>
            </w:r>
            <w:proofErr w:type="spellEnd"/>
          </w:p>
        </w:tc>
      </w:tr>
      <w:tr w:rsidR="006C2990">
        <w:trPr>
          <w:trHeight w:val="234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</w:tr>
      <w:tr w:rsidR="006C2990">
        <w:trPr>
          <w:trHeight w:val="572"/>
          <w:jc w:val="center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Agenda item:</w: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 xml:space="preserve">Introduction of Jessica </w:t>
            </w:r>
            <w:proofErr w:type="spellStart"/>
            <w:r>
              <w:rPr>
                <w:sz w:val="25"/>
                <w:szCs w:val="25"/>
              </w:rPr>
              <w:t>Pugliesi</w:t>
            </w:r>
            <w:proofErr w:type="spellEnd"/>
            <w:r>
              <w:rPr>
                <w:sz w:val="25"/>
                <w:szCs w:val="25"/>
              </w:rPr>
              <w:t>, WPS Transition Specialist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Presenter: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 xml:space="preserve">Jessica </w:t>
            </w:r>
            <w:proofErr w:type="spellStart"/>
            <w:r>
              <w:rPr>
                <w:sz w:val="25"/>
                <w:szCs w:val="25"/>
              </w:rPr>
              <w:t>Pugliesi</w:t>
            </w:r>
            <w:proofErr w:type="spellEnd"/>
          </w:p>
        </w:tc>
      </w:tr>
    </w:tbl>
    <w:p w:rsidR="006C2990" w:rsidRDefault="006C2990">
      <w:pPr>
        <w:pStyle w:val="Heading"/>
        <w:widowControl w:val="0"/>
        <w:pBdr>
          <w:bottom w:val="nil"/>
        </w:pBdr>
      </w:pPr>
    </w:p>
    <w:p w:rsidR="006C2990" w:rsidRDefault="00824376">
      <w:pPr>
        <w:pStyle w:val="Heading4"/>
        <w:rPr>
          <w:sz w:val="25"/>
          <w:szCs w:val="25"/>
        </w:rPr>
      </w:pPr>
      <w:r>
        <w:rPr>
          <w:sz w:val="25"/>
          <w:szCs w:val="25"/>
        </w:rPr>
        <w:t>Discussion:</w:t>
      </w:r>
    </w:p>
    <w:p w:rsidR="006C2990" w:rsidRDefault="00824376">
      <w:pPr>
        <w:pStyle w:val="Body"/>
        <w:rPr>
          <w:sz w:val="25"/>
          <w:szCs w:val="25"/>
        </w:rPr>
      </w:pPr>
      <w:r>
        <w:rPr>
          <w:sz w:val="25"/>
          <w:szCs w:val="25"/>
        </w:rPr>
        <w:t>Jessica introduced herself and explained her position as a Transition Specialist.  She is a Board Certified Behavioral Analyst (BCBA)</w:t>
      </w:r>
      <w:r>
        <w:rPr>
          <w:sz w:val="25"/>
          <w:szCs w:val="25"/>
        </w:rPr>
        <w:t xml:space="preserve"> and is a resource for Westwood Public School students as they move on to </w:t>
      </w:r>
      <w:proofErr w:type="spellStart"/>
      <w:r>
        <w:rPr>
          <w:sz w:val="25"/>
          <w:szCs w:val="25"/>
        </w:rPr>
        <w:t>post secondary</w:t>
      </w:r>
      <w:proofErr w:type="spellEnd"/>
      <w:r>
        <w:rPr>
          <w:sz w:val="25"/>
          <w:szCs w:val="25"/>
        </w:rPr>
        <w:t xml:space="preserve"> opportunities.  She is hands on and currently works with about 6 students.  She tries to get them into the community, via volunteering or paid work, and is a liaison t</w:t>
      </w:r>
      <w:r>
        <w:rPr>
          <w:sz w:val="25"/>
          <w:szCs w:val="25"/>
        </w:rPr>
        <w:t>o Job or College. She helps with transitional/</w:t>
      </w:r>
      <w:proofErr w:type="gramStart"/>
      <w:r>
        <w:rPr>
          <w:sz w:val="25"/>
          <w:szCs w:val="25"/>
        </w:rPr>
        <w:t>vocational  plans</w:t>
      </w:r>
      <w:proofErr w:type="gramEnd"/>
      <w:r>
        <w:rPr>
          <w:sz w:val="25"/>
          <w:szCs w:val="25"/>
        </w:rPr>
        <w:t xml:space="preserve"> for students turning 18 and develops behavioral plans.  She is planning a </w:t>
      </w:r>
      <w:r>
        <w:rPr>
          <w:sz w:val="25"/>
          <w:szCs w:val="25"/>
          <w:lang w:val="de-DE"/>
        </w:rPr>
        <w:t>“</w:t>
      </w:r>
      <w:r>
        <w:rPr>
          <w:sz w:val="25"/>
          <w:szCs w:val="25"/>
          <w:lang w:val="fr-FR"/>
        </w:rPr>
        <w:t>Transition</w:t>
      </w:r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  <w:lang w:val="fr-FR"/>
        </w:rPr>
        <w:t>Fair</w:t>
      </w:r>
      <w:proofErr w:type="spellEnd"/>
      <w:r>
        <w:rPr>
          <w:sz w:val="25"/>
          <w:szCs w:val="25"/>
        </w:rPr>
        <w:t xml:space="preserve">” </w:t>
      </w:r>
      <w:r>
        <w:rPr>
          <w:sz w:val="25"/>
          <w:szCs w:val="25"/>
        </w:rPr>
        <w:t xml:space="preserve">February 7 or 13, 2018.  The commission gave her some insights and tips for the fair based </w:t>
      </w:r>
      <w:proofErr w:type="gramStart"/>
      <w:r>
        <w:rPr>
          <w:sz w:val="25"/>
          <w:szCs w:val="25"/>
        </w:rPr>
        <w:t>on</w:t>
      </w:r>
      <w:proofErr w:type="gramEnd"/>
      <w:r>
        <w:rPr>
          <w:sz w:val="25"/>
          <w:szCs w:val="25"/>
        </w:rPr>
        <w:t xml:space="preserve"> our pr</w:t>
      </w:r>
      <w:r>
        <w:rPr>
          <w:sz w:val="25"/>
          <w:szCs w:val="25"/>
        </w:rPr>
        <w:t>ior work with WPS.  She will try to have vendors that cover College, Vocational, Social, and Adaptive Driving.  She offered the commission a table at the event.  Jessica mentioned that an area of challenge for her is to identify jobs for her students eithe</w:t>
      </w:r>
      <w:r>
        <w:rPr>
          <w:sz w:val="25"/>
          <w:szCs w:val="25"/>
        </w:rPr>
        <w:t xml:space="preserve">r paid or unpaid.  Any leads would be appreciated.  Other </w:t>
      </w:r>
      <w:proofErr w:type="gramStart"/>
      <w:r>
        <w:rPr>
          <w:sz w:val="25"/>
          <w:szCs w:val="25"/>
        </w:rPr>
        <w:t>speakers that Jessica will have in is</w:t>
      </w:r>
      <w:proofErr w:type="gramEnd"/>
      <w:r>
        <w:rPr>
          <w:sz w:val="25"/>
          <w:szCs w:val="25"/>
        </w:rPr>
        <w:t xml:space="preserve"> Cathy Kelly- MRC March 7</w:t>
      </w:r>
      <w:r>
        <w:rPr>
          <w:sz w:val="25"/>
          <w:szCs w:val="25"/>
          <w:vertAlign w:val="superscript"/>
        </w:rPr>
        <w:t>th</w:t>
      </w:r>
      <w:r>
        <w:rPr>
          <w:sz w:val="25"/>
          <w:szCs w:val="25"/>
        </w:rPr>
        <w:t xml:space="preserve"> on student benefits and Mass Health.  </w:t>
      </w:r>
    </w:p>
    <w:p w:rsidR="006C2990" w:rsidRDefault="006C2990">
      <w:pPr>
        <w:pStyle w:val="Body"/>
        <w:rPr>
          <w:sz w:val="25"/>
          <w:szCs w:val="25"/>
        </w:rPr>
      </w:pPr>
    </w:p>
    <w:tbl>
      <w:tblPr>
        <w:tblW w:w="10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7"/>
        <w:gridCol w:w="4809"/>
        <w:gridCol w:w="1472"/>
        <w:gridCol w:w="2306"/>
      </w:tblGrid>
      <w:tr w:rsidR="006C2990">
        <w:trPr>
          <w:trHeight w:val="572"/>
        </w:trPr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Agenda item: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>Next Meeting and Adjournment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Heading2"/>
            </w:pPr>
            <w:r>
              <w:rPr>
                <w:sz w:val="25"/>
                <w:szCs w:val="25"/>
              </w:rPr>
              <w:t>Presenter: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proofErr w:type="spellStart"/>
            <w:r>
              <w:rPr>
                <w:sz w:val="25"/>
                <w:szCs w:val="25"/>
              </w:rPr>
              <w:t>Jette</w:t>
            </w:r>
            <w:proofErr w:type="spellEnd"/>
          </w:p>
        </w:tc>
      </w:tr>
    </w:tbl>
    <w:p w:rsidR="006C2990" w:rsidRDefault="006C2990">
      <w:pPr>
        <w:pStyle w:val="Body"/>
        <w:widowControl w:val="0"/>
      </w:pPr>
    </w:p>
    <w:p w:rsidR="006C2990" w:rsidRDefault="00824376">
      <w:pPr>
        <w:pStyle w:val="Body"/>
        <w:rPr>
          <w:sz w:val="25"/>
          <w:szCs w:val="25"/>
        </w:rPr>
      </w:pPr>
      <w:r>
        <w:rPr>
          <w:sz w:val="25"/>
          <w:szCs w:val="25"/>
        </w:rPr>
        <w:t xml:space="preserve">NEXT MEETING: January 12, 2018 </w:t>
      </w:r>
      <w:r>
        <w:rPr>
          <w:sz w:val="25"/>
          <w:szCs w:val="25"/>
        </w:rPr>
        <w:t>50 Carby Street, Westwood</w:t>
      </w:r>
    </w:p>
    <w:p w:rsidR="006C2990" w:rsidRDefault="006C2990">
      <w:pPr>
        <w:pStyle w:val="Heading4"/>
      </w:pPr>
    </w:p>
    <w:p w:rsidR="006C2990" w:rsidRDefault="00824376">
      <w:pPr>
        <w:pStyle w:val="Heading"/>
      </w:pPr>
      <w:r>
        <w:t xml:space="preserve">Other Information  </w:t>
      </w:r>
    </w:p>
    <w:tbl>
      <w:tblPr>
        <w:tblW w:w="10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9"/>
        <w:gridCol w:w="7765"/>
      </w:tblGrid>
      <w:tr w:rsidR="006C2990">
        <w:trPr>
          <w:trHeight w:val="234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b/>
                <w:bCs/>
              </w:rPr>
              <w:t>RESOURCES:</w:t>
            </w:r>
          </w:p>
        </w:tc>
        <w:tc>
          <w:tcPr>
            <w:tcW w:w="7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</w:tr>
      <w:tr w:rsidR="006C2990">
        <w:trPr>
          <w:trHeight w:val="28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824376">
            <w:pPr>
              <w:pStyle w:val="Body"/>
            </w:pPr>
            <w:r>
              <w:rPr>
                <w:b/>
                <w:bCs/>
                <w:color w:val="444444"/>
                <w:sz w:val="25"/>
                <w:szCs w:val="25"/>
                <w:u w:color="444444"/>
              </w:rPr>
              <w:t xml:space="preserve">TRANSITION FROM </w:t>
            </w:r>
            <w:r>
              <w:rPr>
                <w:b/>
                <w:bCs/>
                <w:sz w:val="25"/>
                <w:szCs w:val="25"/>
                <w:u w:color="444444"/>
                <w:lang w:val="de-DE"/>
              </w:rPr>
              <w:t>SCHOOL</w:t>
            </w:r>
            <w:r>
              <w:rPr>
                <w:b/>
                <w:bCs/>
                <w:color w:val="444444"/>
                <w:sz w:val="25"/>
                <w:szCs w:val="25"/>
                <w:u w:color="444444"/>
                <w:lang w:val="de-DE"/>
              </w:rPr>
              <w:t xml:space="preserve"> TO ADULT LIFE</w:t>
            </w:r>
          </w:p>
        </w:tc>
      </w:tr>
      <w:tr w:rsidR="006C2990">
        <w:trPr>
          <w:trHeight w:val="282"/>
        </w:trPr>
        <w:tc>
          <w:tcPr>
            <w:tcW w:w="24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nil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824376">
            <w:pPr>
              <w:pStyle w:val="Body"/>
            </w:pPr>
            <w:r>
              <w:rPr>
                <w:color w:val="444444"/>
                <w:sz w:val="25"/>
                <w:szCs w:val="25"/>
                <w:u w:color="444444"/>
              </w:rPr>
              <w:t>A statewide all-day conference for parents</w:t>
            </w:r>
          </w:p>
        </w:tc>
      </w:tr>
      <w:tr w:rsidR="006C2990">
        <w:trPr>
          <w:trHeight w:val="292"/>
        </w:trPr>
        <w:tc>
          <w:tcPr>
            <w:tcW w:w="24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  <w:u w:color="444444"/>
              </w:rPr>
              <w:t>November 4, 2017</w:t>
            </w:r>
            <w:r>
              <w:rPr>
                <w:sz w:val="25"/>
                <w:szCs w:val="25"/>
                <w:u w:color="444444"/>
              </w:rPr>
              <w:t xml:space="preserve"> held at the College of the Holy Cross, Worcester</w:t>
            </w:r>
          </w:p>
        </w:tc>
      </w:tr>
      <w:tr w:rsidR="006C2990">
        <w:trPr>
          <w:trHeight w:val="412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824376">
            <w:pPr>
              <w:pStyle w:val="Body"/>
            </w:pPr>
            <w:r>
              <w:rPr>
                <w:sz w:val="25"/>
                <w:szCs w:val="25"/>
              </w:rPr>
              <w:t xml:space="preserve">Arc Notes from Worcester are currently available at The ARC website. - </w:t>
            </w:r>
            <w:hyperlink r:id="rId7" w:history="1">
              <w:r>
                <w:rPr>
                  <w:rStyle w:val="Hyperlink0"/>
                </w:rPr>
                <w:t>www.thearcofmass.org/conference</w:t>
              </w:r>
            </w:hyperlink>
          </w:p>
        </w:tc>
      </w:tr>
      <w:tr w:rsidR="006C2990">
        <w:trPr>
          <w:trHeight w:val="292"/>
        </w:trPr>
        <w:tc>
          <w:tcPr>
            <w:tcW w:w="24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6C2990"/>
        </w:tc>
      </w:tr>
      <w:tr w:rsidR="006C2990">
        <w:trPr>
          <w:trHeight w:val="692"/>
        </w:trPr>
        <w:tc>
          <w:tcPr>
            <w:tcW w:w="244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000000"/>
              <w:left w:val="nil"/>
              <w:bottom w:val="single" w:sz="8" w:space="0" w:color="FFFFFF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824376">
            <w:pPr>
              <w:pStyle w:val="NormalWeb"/>
              <w:spacing w:before="0" w:after="264" w:line="288" w:lineRule="atLeast"/>
            </w:pPr>
            <w:r>
              <w:rPr>
                <w:rFonts w:ascii="Calibri" w:eastAsia="Calibri" w:hAnsi="Calibri" w:cs="Calibri"/>
                <w:b/>
                <w:bCs/>
                <w:sz w:val="25"/>
                <w:szCs w:val="25"/>
              </w:rPr>
              <w:t>“Making Things Possible: Educating the Whole Child” Conference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at </w:t>
            </w:r>
            <w:proofErr w:type="spellStart"/>
            <w:r>
              <w:rPr>
                <w:rFonts w:ascii="Calibri" w:eastAsia="Calibri" w:hAnsi="Calibri" w:cs="Calibri"/>
                <w:sz w:val="25"/>
                <w:szCs w:val="25"/>
              </w:rPr>
              <w:t>Cotting</w:t>
            </w:r>
            <w:proofErr w:type="spellEnd"/>
            <w:r>
              <w:rPr>
                <w:rFonts w:ascii="Calibri" w:eastAsia="Calibri" w:hAnsi="Calibri" w:cs="Calibri"/>
                <w:sz w:val="25"/>
                <w:szCs w:val="25"/>
              </w:rPr>
              <w:t xml:space="preserve"> School</w:t>
            </w:r>
          </w:p>
        </w:tc>
      </w:tr>
      <w:tr w:rsidR="006C2990">
        <w:trPr>
          <w:trHeight w:val="1068"/>
        </w:trPr>
        <w:tc>
          <w:tcPr>
            <w:tcW w:w="24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2990" w:rsidRDefault="006C2990"/>
        </w:tc>
        <w:tc>
          <w:tcPr>
            <w:tcW w:w="7764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990" w:rsidRDefault="00824376">
            <w:pPr>
              <w:pStyle w:val="Body"/>
              <w:spacing w:after="0"/>
            </w:pPr>
            <w:r>
              <w:rPr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esources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from the conference are</w:t>
            </w:r>
            <w:r>
              <w:rPr>
                <w:rFonts w:ascii="Calibri" w:eastAsia="Calibri" w:hAnsi="Calibri" w:cs="Calibri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sz w:val="25"/>
                <w:szCs w:val="25"/>
              </w:rPr>
              <w:t>at </w:t>
            </w:r>
            <w:hyperlink r:id="rId8" w:history="1">
              <w:r>
                <w:rPr>
                  <w:rStyle w:val="Hyperlink1"/>
                  <w:sz w:val="25"/>
                  <w:szCs w:val="25"/>
                </w:rPr>
                <w:t>https://www.cotting.org/cotting-conference/cotting-conference-2017-2/</w:t>
              </w:r>
            </w:hyperlink>
            <w:r>
              <w:rPr>
                <w:rStyle w:val="None"/>
                <w:rFonts w:ascii="Calibri" w:eastAsia="Calibri" w:hAnsi="Calibri" w:cs="Calibri"/>
                <w:sz w:val="25"/>
                <w:szCs w:val="25"/>
              </w:rPr>
              <w:t xml:space="preserve"> This site includes workshop resources, the</w:t>
            </w:r>
            <w:r>
              <w:rPr>
                <w:rStyle w:val="None"/>
                <w:rFonts w:ascii="Calibri" w:eastAsia="Calibri" w:hAnsi="Calibri" w:cs="Calibri"/>
                <w:sz w:val="25"/>
                <w:szCs w:val="25"/>
              </w:rPr>
              <w:t xml:space="preserve"> keynote address by Deborah and Patrick </w:t>
            </w:r>
            <w:proofErr w:type="spellStart"/>
            <w:r>
              <w:rPr>
                <w:rStyle w:val="None"/>
                <w:rFonts w:ascii="Calibri" w:eastAsia="Calibri" w:hAnsi="Calibri" w:cs="Calibri"/>
                <w:sz w:val="25"/>
                <w:szCs w:val="25"/>
              </w:rPr>
              <w:t>Downes</w:t>
            </w:r>
            <w:proofErr w:type="spellEnd"/>
            <w:r>
              <w:rPr>
                <w:rStyle w:val="None"/>
                <w:rFonts w:ascii="Calibri" w:eastAsia="Calibri" w:hAnsi="Calibri" w:cs="Calibri"/>
                <w:sz w:val="25"/>
                <w:szCs w:val="25"/>
              </w:rPr>
              <w:t>, and a list of contacts from the vendor and resource fair.</w:t>
            </w:r>
          </w:p>
        </w:tc>
      </w:tr>
    </w:tbl>
    <w:p w:rsidR="006C2990" w:rsidRDefault="006C2990">
      <w:pPr>
        <w:pStyle w:val="Body"/>
      </w:pPr>
    </w:p>
    <w:p w:rsidR="006C2990" w:rsidRDefault="00824376">
      <w:pPr>
        <w:pStyle w:val="NormalWeb"/>
        <w:spacing w:before="0" w:after="264" w:line="288" w:lineRule="atLeast"/>
        <w:jc w:val="center"/>
        <w:rPr>
          <w:rStyle w:val="None"/>
          <w:color w:val="444444"/>
          <w:u w:color="444444"/>
        </w:rPr>
      </w:pPr>
      <w:r>
        <w:rPr>
          <w:rStyle w:val="None"/>
          <w:rFonts w:ascii="Helvetica" w:hAnsi="Helvetica"/>
          <w:color w:val="444444"/>
          <w:sz w:val="23"/>
          <w:szCs w:val="23"/>
          <w:u w:color="444444"/>
        </w:rPr>
        <w:t xml:space="preserve"> </w:t>
      </w:r>
    </w:p>
    <w:p w:rsidR="006C2990" w:rsidRDefault="006C2990">
      <w:pPr>
        <w:pStyle w:val="NormalWeb"/>
        <w:spacing w:before="0" w:after="264" w:line="288" w:lineRule="atLeast"/>
        <w:jc w:val="center"/>
        <w:rPr>
          <w:rStyle w:val="None"/>
          <w:rFonts w:ascii="Helvetica" w:eastAsia="Helvetica" w:hAnsi="Helvetica" w:cs="Helvetica"/>
          <w:color w:val="444444"/>
          <w:sz w:val="23"/>
          <w:szCs w:val="23"/>
          <w:u w:color="444444"/>
        </w:rPr>
      </w:pPr>
    </w:p>
    <w:p w:rsidR="006C2990" w:rsidRDefault="006C2990">
      <w:pPr>
        <w:pStyle w:val="NormalWeb"/>
        <w:spacing w:before="0" w:after="264" w:line="288" w:lineRule="atLeast"/>
        <w:jc w:val="center"/>
        <w:rPr>
          <w:rStyle w:val="None"/>
          <w:rFonts w:ascii="Helvetica" w:eastAsia="Helvetica" w:hAnsi="Helvetica" w:cs="Helvetica"/>
          <w:color w:val="444444"/>
          <w:sz w:val="23"/>
          <w:szCs w:val="23"/>
          <w:u w:color="444444"/>
        </w:rPr>
      </w:pPr>
    </w:p>
    <w:p w:rsidR="006C2990" w:rsidRDefault="006C2990">
      <w:pPr>
        <w:pStyle w:val="NormalWeb"/>
        <w:spacing w:before="0" w:after="264" w:line="288" w:lineRule="atLeast"/>
        <w:jc w:val="center"/>
      </w:pPr>
    </w:p>
    <w:sectPr w:rsidR="006C299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6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76" w:rsidRDefault="00824376">
      <w:r>
        <w:separator/>
      </w:r>
    </w:p>
  </w:endnote>
  <w:endnote w:type="continuationSeparator" w:id="0">
    <w:p w:rsidR="00824376" w:rsidRDefault="0082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90" w:rsidRDefault="00824376">
    <w:pPr>
      <w:pStyle w:val="Footer"/>
      <w:jc w:val="right"/>
    </w:pPr>
    <w:r>
      <w:rPr>
        <w:sz w:val="24"/>
        <w:szCs w:val="24"/>
      </w:rPr>
      <w:fldChar w:fldCharType="begin" w:fldLock="1"/>
    </w:r>
    <w:r>
      <w:rPr>
        <w:sz w:val="24"/>
        <w:szCs w:val="24"/>
      </w:rPr>
      <w:instrText xml:space="preserve"> DATE \@ "M/d/yy"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11/17/17</w:t>
    </w:r>
    <w:r>
      <w:rPr>
        <w:sz w:val="24"/>
        <w:szCs w:val="24"/>
      </w:rPr>
      <w:fldChar w:fldCharType="end"/>
    </w:r>
    <w:r>
      <w:t xml:space="preserve">   </w:t>
    </w:r>
    <w:r>
      <w:rPr>
        <w:sz w:val="24"/>
        <w:szCs w:val="24"/>
      </w:rPr>
      <w:t>p.2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90" w:rsidRDefault="00824376">
    <w:pPr>
      <w:pStyle w:val="HeaderFooter"/>
      <w:jc w:val="right"/>
    </w:pPr>
    <w:r>
      <w:fldChar w:fldCharType="begin" w:fldLock="1"/>
    </w:r>
    <w:r>
      <w:instrText xml:space="preserve"> DATE \@ "M/d/yy" </w:instrText>
    </w:r>
    <w:r>
      <w:fldChar w:fldCharType="separate"/>
    </w:r>
    <w:r>
      <w:t>11/17/17</w:t>
    </w:r>
    <w:r>
      <w:fldChar w:fldCharType="end"/>
    </w:r>
    <w:r>
      <w:t xml:space="preserve">    p.</w:t>
    </w:r>
    <w:r>
      <w:fldChar w:fldCharType="begin"/>
    </w:r>
    <w:r>
      <w:instrText xml:space="preserve"> PAGE </w:instrText>
    </w:r>
    <w:r>
      <w:fldChar w:fldCharType="separate"/>
    </w:r>
    <w:r w:rsidR="00291D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76" w:rsidRDefault="00824376">
      <w:r>
        <w:separator/>
      </w:r>
    </w:p>
  </w:footnote>
  <w:footnote w:type="continuationSeparator" w:id="0">
    <w:p w:rsidR="00824376" w:rsidRDefault="0082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90" w:rsidRDefault="006C2990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90" w:rsidRDefault="006C29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2990"/>
    <w:rsid w:val="00291DF3"/>
    <w:rsid w:val="006C2990"/>
    <w:rsid w:val="0082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spacing w:before="80" w:after="80"/>
      <w:outlineLvl w:val="1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3">
    <w:name w:val="heading 3"/>
    <w:pPr>
      <w:spacing w:after="120"/>
      <w:jc w:val="right"/>
      <w:outlineLvl w:val="2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4">
    <w:name w:val="heading 4"/>
    <w:pPr>
      <w:keepNext/>
      <w:spacing w:before="200" w:after="120"/>
      <w:outlineLvl w:val="3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Pr>
      <w:rFonts w:ascii="Arial" w:hAnsi="Arial" w:cs="Arial Unicode MS"/>
      <w:color w:val="000000"/>
      <w:sz w:val="19"/>
      <w:szCs w:val="19"/>
      <w:u w:color="000000"/>
    </w:rPr>
  </w:style>
  <w:style w:type="paragraph" w:customStyle="1" w:styleId="Body">
    <w:name w:val="Body"/>
    <w:pPr>
      <w:spacing w:before="80" w:after="80"/>
    </w:pPr>
    <w:rPr>
      <w:rFonts w:ascii="Arial" w:eastAsia="Arial" w:hAnsi="Arial" w:cs="Arial"/>
      <w:color w:val="000000"/>
      <w:sz w:val="19"/>
      <w:szCs w:val="19"/>
      <w:u w:color="000000"/>
    </w:rPr>
  </w:style>
  <w:style w:type="paragraph" w:styleId="Title">
    <w:name w:val="Title"/>
    <w:pPr>
      <w:spacing w:after="160"/>
    </w:pPr>
    <w:rPr>
      <w:rFonts w:ascii="Arial" w:hAnsi="Arial" w:cs="Arial Unicode MS"/>
      <w:b/>
      <w:bCs/>
      <w:color w:val="000000"/>
      <w:kern w:val="28"/>
      <w:sz w:val="48"/>
      <w:szCs w:val="48"/>
      <w:u w:color="000000"/>
    </w:rPr>
  </w:style>
  <w:style w:type="paragraph" w:customStyle="1" w:styleId="Heading">
    <w:name w:val="Heading"/>
    <w:pPr>
      <w:keepNext/>
      <w:pBdr>
        <w:bottom w:val="single" w:sz="4" w:space="0" w:color="000000"/>
      </w:pBdr>
      <w:spacing w:before="240" w:after="80"/>
      <w:jc w:val="center"/>
      <w:outlineLvl w:val="0"/>
    </w:pPr>
    <w:rPr>
      <w:rFonts w:ascii="Arial" w:hAnsi="Arial" w:cs="Arial Unicode MS"/>
      <w:b/>
      <w:bCs/>
      <w:i/>
      <w:iCs/>
      <w:color w:val="000000"/>
      <w:kern w:val="32"/>
      <w:sz w:val="28"/>
      <w:szCs w:val="28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5"/>
      <w:szCs w:val="25"/>
      <w:u w:val="single" w:color="0000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color w:val="954F72"/>
      <w:u w:val="single" w:color="954F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spacing w:before="80" w:after="80"/>
      <w:outlineLvl w:val="1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3">
    <w:name w:val="heading 3"/>
    <w:pPr>
      <w:spacing w:after="120"/>
      <w:jc w:val="right"/>
      <w:outlineLvl w:val="2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paragraph" w:styleId="Heading4">
    <w:name w:val="heading 4"/>
    <w:pPr>
      <w:keepNext/>
      <w:spacing w:before="200" w:after="120"/>
      <w:outlineLvl w:val="3"/>
    </w:pPr>
    <w:rPr>
      <w:rFonts w:ascii="Arial" w:hAnsi="Arial" w:cs="Arial Unicode MS"/>
      <w:b/>
      <w:bCs/>
      <w:color w:val="000000"/>
      <w:sz w:val="19"/>
      <w:szCs w:val="19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Pr>
      <w:rFonts w:ascii="Arial" w:hAnsi="Arial" w:cs="Arial Unicode MS"/>
      <w:color w:val="000000"/>
      <w:sz w:val="19"/>
      <w:szCs w:val="19"/>
      <w:u w:color="000000"/>
    </w:rPr>
  </w:style>
  <w:style w:type="paragraph" w:customStyle="1" w:styleId="Body">
    <w:name w:val="Body"/>
    <w:pPr>
      <w:spacing w:before="80" w:after="80"/>
    </w:pPr>
    <w:rPr>
      <w:rFonts w:ascii="Arial" w:eastAsia="Arial" w:hAnsi="Arial" w:cs="Arial"/>
      <w:color w:val="000000"/>
      <w:sz w:val="19"/>
      <w:szCs w:val="19"/>
      <w:u w:color="000000"/>
    </w:rPr>
  </w:style>
  <w:style w:type="paragraph" w:styleId="Title">
    <w:name w:val="Title"/>
    <w:pPr>
      <w:spacing w:after="160"/>
    </w:pPr>
    <w:rPr>
      <w:rFonts w:ascii="Arial" w:hAnsi="Arial" w:cs="Arial Unicode MS"/>
      <w:b/>
      <w:bCs/>
      <w:color w:val="000000"/>
      <w:kern w:val="28"/>
      <w:sz w:val="48"/>
      <w:szCs w:val="48"/>
      <w:u w:color="000000"/>
    </w:rPr>
  </w:style>
  <w:style w:type="paragraph" w:customStyle="1" w:styleId="Heading">
    <w:name w:val="Heading"/>
    <w:pPr>
      <w:keepNext/>
      <w:pBdr>
        <w:bottom w:val="single" w:sz="4" w:space="0" w:color="000000"/>
      </w:pBdr>
      <w:spacing w:before="240" w:after="80"/>
      <w:jc w:val="center"/>
      <w:outlineLvl w:val="0"/>
    </w:pPr>
    <w:rPr>
      <w:rFonts w:ascii="Arial" w:hAnsi="Arial" w:cs="Arial Unicode MS"/>
      <w:b/>
      <w:bCs/>
      <w:i/>
      <w:iCs/>
      <w:color w:val="000000"/>
      <w:kern w:val="32"/>
      <w:sz w:val="28"/>
      <w:szCs w:val="28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5"/>
      <w:szCs w:val="25"/>
      <w:u w:val="single" w:color="0000FF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Calibri" w:eastAsia="Calibri" w:hAnsi="Calibri" w:cs="Calibri"/>
      <w:color w:val="954F72"/>
      <w:u w:val="single" w:color="954F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tting.org/cotting-conference/cotting-conference-2017-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rcofmass.org/conference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 Carty</dc:creator>
  <cp:lastModifiedBy>MaryAnne Carty</cp:lastModifiedBy>
  <cp:revision>2</cp:revision>
  <dcterms:created xsi:type="dcterms:W3CDTF">2018-12-03T20:22:00Z</dcterms:created>
  <dcterms:modified xsi:type="dcterms:W3CDTF">2018-12-03T20:22:00Z</dcterms:modified>
</cp:coreProperties>
</file>